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nsPlusNormal"/>
        <w:ind w:left="0" w:right="0" w:hanging="0"/>
        <w:jc w:val="center"/>
        <w:rPr/>
      </w:pPr>
      <w:r>
        <w:rPr>
          <w:rFonts w:cs="Times New Roman" w:ascii="Times New Roman" w:hAnsi="Times New Roman"/>
          <w:bCs/>
          <w:szCs w:val="32"/>
        </w:rPr>
        <w:t>IV. Промышленное рыболовство и прибрежное рыболовство</w:t>
      </w:r>
    </w:p>
    <w:p>
      <w:pPr>
        <w:pStyle w:val="ConsPlusNormal"/>
        <w:ind w:left="0" w:right="0" w:hanging="0"/>
        <w:jc w:val="center"/>
        <w:rPr/>
      </w:pPr>
      <w:r>
        <w:rPr>
          <w:rFonts w:cs="Times New Roman" w:ascii="Times New Roman" w:hAnsi="Times New Roman"/>
          <w:bCs/>
          <w:szCs w:val="32"/>
        </w:rPr>
        <w:t>в Северном рыбохозяйственном районе Волжско-Каспийского</w:t>
      </w:r>
    </w:p>
    <w:p>
      <w:pPr>
        <w:pStyle w:val="ConsPlusNormal"/>
        <w:ind w:left="0" w:right="0" w:hanging="0"/>
        <w:jc w:val="center"/>
        <w:rPr/>
      </w:pPr>
      <w:r>
        <w:rPr>
          <w:rFonts w:cs="Times New Roman" w:ascii="Times New Roman" w:hAnsi="Times New Roman"/>
          <w:bCs/>
          <w:szCs w:val="32"/>
        </w:rPr>
        <w:t>рыбохозяйственного бассейна</w:t>
      </w:r>
    </w:p>
    <w:p>
      <w:pPr>
        <w:pStyle w:val="ConsPlusNormal"/>
        <w:spacing w:before="160" w:after="160"/>
        <w:ind w:left="0" w:right="0" w:firstLine="540"/>
        <w:jc w:val="both"/>
        <w:rPr/>
      </w:pPr>
      <w:r>
        <w:rPr>
          <w:rFonts w:cs="Times New Roman" w:ascii="Times New Roman" w:hAnsi="Times New Roman"/>
          <w:szCs w:val="32"/>
        </w:rPr>
        <w:t>22. Запретные для добычи (вылова) водных биоресурсов районы:</w:t>
      </w:r>
    </w:p>
    <w:p>
      <w:pPr>
        <w:pStyle w:val="ConsPlusNormal"/>
        <w:spacing w:before="160" w:after="160"/>
        <w:ind w:left="0" w:right="0" w:firstLine="540"/>
        <w:jc w:val="both"/>
        <w:rPr/>
      </w:pPr>
      <w:r>
        <w:rPr>
          <w:rFonts w:cs="Times New Roman" w:ascii="Times New Roman" w:hAnsi="Times New Roman"/>
          <w:szCs w:val="32"/>
        </w:rPr>
        <w:t>Запрещается добыча (вылов) всех видов водных биоресурсов в течение года:</w:t>
      </w:r>
    </w:p>
    <w:p>
      <w:pPr>
        <w:pStyle w:val="ConsPlusNormal"/>
        <w:spacing w:before="160" w:after="160"/>
        <w:ind w:left="0" w:right="0" w:firstLine="540"/>
        <w:jc w:val="both"/>
        <w:rPr/>
      </w:pPr>
      <w:r>
        <w:rPr>
          <w:rFonts w:cs="Times New Roman" w:ascii="Times New Roman" w:hAnsi="Times New Roman"/>
          <w:szCs w:val="32"/>
        </w:rPr>
        <w:t>а) у плотин ГЭС в нижнем бьефе на расстоянии (в км):</w:t>
      </w:r>
    </w:p>
    <w:p>
      <w:pPr>
        <w:pStyle w:val="ConsPlusNormal"/>
        <w:spacing w:before="160" w:after="160"/>
        <w:ind w:left="0" w:right="0" w:firstLine="540"/>
        <w:jc w:val="both"/>
        <w:rPr/>
      </w:pPr>
      <w:r>
        <w:rPr>
          <w:rFonts w:cs="Times New Roman" w:ascii="Times New Roman" w:hAnsi="Times New Roman"/>
          <w:szCs w:val="32"/>
        </w:rPr>
        <w:t>Нижегородская ГЭС - 5;</w:t>
      </w:r>
    </w:p>
    <w:p>
      <w:pPr>
        <w:pStyle w:val="ConsPlusNormal"/>
        <w:spacing w:before="160" w:after="160"/>
        <w:ind w:left="0" w:right="0" w:firstLine="540"/>
        <w:jc w:val="both"/>
        <w:rPr/>
      </w:pPr>
      <w:r>
        <w:rPr>
          <w:rFonts w:cs="Times New Roman" w:ascii="Times New Roman" w:hAnsi="Times New Roman"/>
          <w:szCs w:val="32"/>
        </w:rPr>
        <w:t>б) в подводящих и отводных магистральных каналах теплоэнергоцентралей, электростанций, а также шлюзовых каналах водохранилищ;</w:t>
      </w:r>
    </w:p>
    <w:p>
      <w:pPr>
        <w:pStyle w:val="ConsPlusNormal"/>
        <w:spacing w:before="160" w:after="160"/>
        <w:ind w:left="0" w:right="0" w:firstLine="540"/>
        <w:jc w:val="both"/>
        <w:rPr/>
      </w:pPr>
      <w:r>
        <w:rPr>
          <w:rFonts w:cs="Times New Roman" w:ascii="Times New Roman" w:hAnsi="Times New Roman"/>
          <w:szCs w:val="32"/>
        </w:rPr>
        <w:t>23. Запретные сроки (периоды) добычи (вылова) водных биоресурсов:</w:t>
      </w:r>
    </w:p>
    <w:p>
      <w:pPr>
        <w:pStyle w:val="ConsPlusNormal"/>
        <w:spacing w:before="160" w:after="160"/>
        <w:ind w:left="0" w:right="0" w:firstLine="540"/>
        <w:jc w:val="both"/>
        <w:rPr/>
      </w:pPr>
      <w:r>
        <w:rPr>
          <w:rFonts w:cs="Times New Roman" w:ascii="Times New Roman" w:hAnsi="Times New Roman"/>
          <w:szCs w:val="32"/>
        </w:rPr>
        <w:t>с 15 апреля по 15 июня - всех видов водных биоресурсов во всех водных объектах рыбохозяйственного значения, за исключением Волгоградского, Саратовского, Куйбышевского и Нижнекамского, Чебоксарского водохранилищ и реки Ока с впадающими в них реками;</w:t>
      </w:r>
    </w:p>
    <w:p>
      <w:pPr>
        <w:pStyle w:val="ConsPlusNormal"/>
        <w:ind w:left="0" w:right="0" w:hanging="0"/>
        <w:jc w:val="both"/>
        <w:rPr/>
      </w:pPr>
      <w:r>
        <w:rPr>
          <w:rFonts w:cs="Times New Roman" w:ascii="Times New Roman" w:hAnsi="Times New Roman"/>
          <w:szCs w:val="32"/>
        </w:rPr>
        <w:t xml:space="preserve">(в ред. </w:t>
      </w:r>
      <w:hyperlink r:id="rId2">
        <w:r>
          <w:rPr>
            <w:rStyle w:val="ListLabel1"/>
            <w:rFonts w:cs="Times New Roman" w:ascii="Times New Roman" w:hAnsi="Times New Roman"/>
            <w:color w:val="0000FF"/>
            <w:szCs w:val="32"/>
          </w:rPr>
          <w:t>Приказа</w:t>
        </w:r>
      </w:hyperlink>
      <w:r>
        <w:rPr>
          <w:rFonts w:cs="Times New Roman" w:ascii="Times New Roman" w:hAnsi="Times New Roman"/>
          <w:szCs w:val="32"/>
        </w:rPr>
        <w:t xml:space="preserve"> Минсельхоза России от 06.11.2018 N 511)</w:t>
      </w:r>
    </w:p>
    <w:p>
      <w:pPr>
        <w:pStyle w:val="ConsPlusNormal"/>
        <w:spacing w:before="160" w:after="160"/>
        <w:ind w:left="0" w:right="0" w:firstLine="540"/>
        <w:jc w:val="both"/>
        <w:rPr/>
      </w:pPr>
      <w:r>
        <w:rPr>
          <w:rFonts w:cs="Times New Roman" w:ascii="Times New Roman" w:hAnsi="Times New Roman"/>
          <w:szCs w:val="32"/>
        </w:rPr>
        <w:t>с 10 апреля по 10 июня в Чебоксарском водохранилище с впадающими в него реками;</w:t>
      </w:r>
    </w:p>
    <w:p>
      <w:pPr>
        <w:pStyle w:val="ConsPlusNormal"/>
        <w:ind w:left="0" w:right="0" w:hanging="0"/>
        <w:jc w:val="both"/>
        <w:rPr/>
      </w:pPr>
      <w:r>
        <w:rPr>
          <w:rFonts w:cs="Times New Roman" w:ascii="Times New Roman" w:hAnsi="Times New Roman"/>
          <w:szCs w:val="32"/>
        </w:rPr>
        <w:t xml:space="preserve">(в ред. </w:t>
      </w:r>
      <w:hyperlink r:id="rId3">
        <w:r>
          <w:rPr>
            <w:rStyle w:val="ListLabel1"/>
            <w:rFonts w:cs="Times New Roman" w:ascii="Times New Roman" w:hAnsi="Times New Roman"/>
            <w:color w:val="0000FF"/>
            <w:szCs w:val="32"/>
          </w:rPr>
          <w:t>Приказа</w:t>
        </w:r>
      </w:hyperlink>
      <w:r>
        <w:rPr>
          <w:rFonts w:cs="Times New Roman" w:ascii="Times New Roman" w:hAnsi="Times New Roman"/>
          <w:szCs w:val="32"/>
        </w:rPr>
        <w:t xml:space="preserve"> Минсельхоза России от 06.11.2018 N 511)</w:t>
      </w:r>
    </w:p>
    <w:p>
      <w:pPr>
        <w:pStyle w:val="ConsPlusNormal"/>
        <w:spacing w:before="160" w:after="160"/>
        <w:ind w:left="0" w:right="0" w:firstLine="540"/>
        <w:jc w:val="both"/>
        <w:rPr/>
      </w:pPr>
      <w:r>
        <w:rPr>
          <w:rFonts w:cs="Times New Roman" w:ascii="Times New Roman" w:hAnsi="Times New Roman"/>
          <w:szCs w:val="32"/>
        </w:rPr>
        <w:t>с 1 декабря по 14 июля и с 16 августа по 14 сентября - раков;</w:t>
      </w:r>
    </w:p>
    <w:p>
      <w:pPr>
        <w:pStyle w:val="ConsPlusNormal"/>
        <w:spacing w:before="160" w:after="160"/>
        <w:ind w:left="0" w:right="0" w:firstLine="540"/>
        <w:jc w:val="both"/>
        <w:rPr/>
      </w:pPr>
      <w:r>
        <w:rPr>
          <w:rFonts w:cs="Times New Roman" w:ascii="Times New Roman" w:hAnsi="Times New Roman"/>
          <w:szCs w:val="32"/>
        </w:rPr>
        <w:t xml:space="preserve">с 1 октября по 30 апреля - на зимовальных ямах, указанных в </w:t>
      </w:r>
      <w:hyperlink r:id="rId4">
        <w:r>
          <w:rPr>
            <w:rStyle w:val="ListLabel1"/>
            <w:rFonts w:cs="Times New Roman" w:ascii="Times New Roman" w:hAnsi="Times New Roman"/>
            <w:color w:val="0000FF"/>
            <w:szCs w:val="32"/>
          </w:rPr>
          <w:t>приложении N 5</w:t>
        </w:r>
      </w:hyperlink>
      <w:r>
        <w:rPr>
          <w:rFonts w:cs="Times New Roman" w:ascii="Times New Roman" w:hAnsi="Times New Roman"/>
          <w:szCs w:val="32"/>
        </w:rPr>
        <w:t xml:space="preserve"> к Правилам рыболовства "Перечень зимовальных ям, расположенных на водных объектах рыбохозяйственного значения Волжско-Каспийского рыбохозяйственного бассейна";</w:t>
      </w:r>
    </w:p>
    <w:p>
      <w:pPr>
        <w:pStyle w:val="ConsPlusNormal"/>
        <w:ind w:left="0" w:right="0" w:hanging="0"/>
        <w:jc w:val="both"/>
        <w:rPr/>
      </w:pPr>
      <w:r>
        <w:rPr>
          <w:rFonts w:cs="Times New Roman" w:ascii="Times New Roman" w:hAnsi="Times New Roman"/>
          <w:szCs w:val="32"/>
        </w:rPr>
        <w:t xml:space="preserve">(абзац введен </w:t>
      </w:r>
      <w:hyperlink r:id="rId5">
        <w:r>
          <w:rPr>
            <w:rStyle w:val="ListLabel1"/>
            <w:rFonts w:cs="Times New Roman" w:ascii="Times New Roman" w:hAnsi="Times New Roman"/>
            <w:color w:val="0000FF"/>
            <w:szCs w:val="32"/>
          </w:rPr>
          <w:t>Приказом</w:t>
        </w:r>
      </w:hyperlink>
      <w:r>
        <w:rPr>
          <w:rFonts w:cs="Times New Roman" w:ascii="Times New Roman" w:hAnsi="Times New Roman"/>
          <w:szCs w:val="32"/>
        </w:rPr>
        <w:t xml:space="preserve"> Минсельхоза России от 27.07.2017 N 371)</w:t>
      </w:r>
    </w:p>
    <w:p>
      <w:pPr>
        <w:pStyle w:val="ConsPlusNormal"/>
        <w:spacing w:before="160" w:after="160"/>
        <w:ind w:left="0" w:right="0" w:firstLine="540"/>
        <w:jc w:val="both"/>
        <w:rPr/>
      </w:pPr>
      <w:r>
        <w:rPr>
          <w:rFonts w:cs="Times New Roman" w:ascii="Times New Roman" w:hAnsi="Times New Roman"/>
          <w:szCs w:val="32"/>
        </w:rPr>
        <w:t>с 20 декабря по 19 января - налима во всех водных объектах рыбохозяйственного значения Нижегородской области;</w:t>
      </w:r>
    </w:p>
    <w:p>
      <w:pPr>
        <w:pStyle w:val="ConsPlusNormal"/>
        <w:ind w:left="0" w:right="0" w:hanging="0"/>
        <w:jc w:val="both"/>
        <w:rPr/>
      </w:pPr>
      <w:r>
        <w:rPr>
          <w:rFonts w:cs="Times New Roman" w:ascii="Times New Roman" w:hAnsi="Times New Roman"/>
          <w:szCs w:val="32"/>
        </w:rPr>
        <w:t xml:space="preserve">(абзац введен </w:t>
      </w:r>
      <w:hyperlink r:id="rId6">
        <w:r>
          <w:rPr>
            <w:rStyle w:val="ListLabel1"/>
            <w:rFonts w:cs="Times New Roman" w:ascii="Times New Roman" w:hAnsi="Times New Roman"/>
            <w:color w:val="0000FF"/>
            <w:szCs w:val="32"/>
          </w:rPr>
          <w:t>Приказом</w:t>
        </w:r>
      </w:hyperlink>
      <w:r>
        <w:rPr>
          <w:rFonts w:cs="Times New Roman" w:ascii="Times New Roman" w:hAnsi="Times New Roman"/>
          <w:szCs w:val="32"/>
        </w:rPr>
        <w:t xml:space="preserve"> Минсельхоза России от 06.11.2018 N 511).</w:t>
      </w:r>
    </w:p>
    <w:p>
      <w:pPr>
        <w:pStyle w:val="ConsPlusNormal"/>
        <w:spacing w:before="160" w:after="160"/>
        <w:ind w:left="0" w:right="0" w:firstLine="540"/>
        <w:jc w:val="both"/>
        <w:rPr/>
      </w:pPr>
      <w:r>
        <w:rPr>
          <w:rFonts w:cs="Times New Roman" w:ascii="Times New Roman" w:hAnsi="Times New Roman"/>
          <w:szCs w:val="32"/>
        </w:rPr>
        <w:t>24. Запретные для добычи (вылова) виды водных биоресурсов:</w:t>
      </w:r>
    </w:p>
    <w:p>
      <w:pPr>
        <w:pStyle w:val="ConsPlusNormal"/>
        <w:spacing w:before="160" w:after="160"/>
        <w:ind w:left="0" w:right="0" w:hanging="0"/>
        <w:jc w:val="both"/>
        <w:rPr/>
      </w:pPr>
      <w:r>
        <w:rPr>
          <w:rFonts w:cs="Times New Roman" w:ascii="Times New Roman" w:hAnsi="Times New Roman"/>
          <w:szCs w:val="32"/>
        </w:rPr>
        <w:t>белуга, осетр русский, севрюга, стерлядь во всех водных объектах рыбохозяйственного значения бассейна реки Волга от истока до Чебоксарской ГЭС,</w:t>
      </w:r>
    </w:p>
    <w:p>
      <w:pPr>
        <w:pStyle w:val="ConsPlusNormal"/>
        <w:ind w:left="0" w:right="0" w:hanging="0"/>
        <w:jc w:val="both"/>
        <w:rPr/>
      </w:pPr>
      <w:r>
        <w:rPr>
          <w:rFonts w:cs="Times New Roman" w:ascii="Times New Roman" w:hAnsi="Times New Roman"/>
          <w:szCs w:val="32"/>
        </w:rPr>
        <w:t xml:space="preserve">(п. 24 в ред. </w:t>
      </w:r>
      <w:hyperlink r:id="rId7">
        <w:r>
          <w:rPr>
            <w:rStyle w:val="ListLabel1"/>
            <w:rFonts w:cs="Times New Roman" w:ascii="Times New Roman" w:hAnsi="Times New Roman"/>
            <w:color w:val="0000FF"/>
            <w:szCs w:val="32"/>
          </w:rPr>
          <w:t>Приказа</w:t>
        </w:r>
      </w:hyperlink>
      <w:r>
        <w:rPr>
          <w:rFonts w:cs="Times New Roman" w:ascii="Times New Roman" w:hAnsi="Times New Roman"/>
          <w:szCs w:val="32"/>
        </w:rPr>
        <w:t xml:space="preserve"> Минсельхоза России от 27.07.2017 N 371).</w:t>
      </w:r>
    </w:p>
    <w:p>
      <w:pPr>
        <w:pStyle w:val="ConsPlusNormal"/>
        <w:spacing w:before="160" w:after="160"/>
        <w:ind w:left="0" w:right="0" w:firstLine="540"/>
        <w:jc w:val="both"/>
        <w:rPr/>
      </w:pPr>
      <w:r>
        <w:rPr>
          <w:rFonts w:cs="Times New Roman" w:ascii="Times New Roman" w:hAnsi="Times New Roman"/>
          <w:szCs w:val="32"/>
        </w:rPr>
        <w:t>25. Виды запретных орудий и способов добычи (вылова) водных биоресурсов:</w:t>
      </w:r>
    </w:p>
    <w:p>
      <w:pPr>
        <w:pStyle w:val="ConsPlusNormal"/>
        <w:spacing w:before="160" w:after="160"/>
        <w:ind w:left="0" w:right="0" w:firstLine="540"/>
        <w:jc w:val="both"/>
        <w:rPr/>
      </w:pPr>
      <w:r>
        <w:rPr>
          <w:rFonts w:cs="Times New Roman" w:ascii="Times New Roman" w:hAnsi="Times New Roman"/>
          <w:szCs w:val="32"/>
        </w:rPr>
        <w:t xml:space="preserve">При осуществлении добычи (вылова) водных биоресурсов применяются стандартные орудия добычи (вылова), изготовленные в соответствии с технической документацией. Запрещается применение орудий и способов добычи (вылова), не предусмотренных в </w:t>
      </w:r>
      <w:hyperlink r:id="rId8">
        <w:r>
          <w:rPr>
            <w:rStyle w:val="ListLabel1"/>
            <w:rFonts w:cs="Times New Roman" w:ascii="Times New Roman" w:hAnsi="Times New Roman"/>
            <w:color w:val="0000FF"/>
            <w:szCs w:val="32"/>
          </w:rPr>
          <w:t>пункте 25.1</w:t>
        </w:r>
      </w:hyperlink>
      <w:r>
        <w:rPr>
          <w:rFonts w:cs="Times New Roman" w:ascii="Times New Roman" w:hAnsi="Times New Roman"/>
          <w:szCs w:val="32"/>
        </w:rPr>
        <w:t xml:space="preserve"> Правил рыболовства.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PT Astra Serif">
    <w:charset w:val="cc"/>
    <w:family w:val="roman"/>
    <w:pitch w:val="variable"/>
  </w:font>
  <w:font w:name="Arial">
    <w:charset w:val="cc"/>
    <w:family w:val="roman"/>
    <w:pitch w:val="variable"/>
  </w:font>
  <w:font w:name="Courier New">
    <w:charset w:val="cc"/>
    <w:family w:val="roman"/>
    <w:pitch w:val="variable"/>
  </w:font>
  <w:font w:name="Tahoma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54" w:before="0" w:after="160"/>
      <w:jc w:val="left"/>
      <w:textAlignment w:val="auto"/>
    </w:pPr>
    <w:rPr>
      <w:rFonts w:ascii="Calibri" w:hAnsi="Calibri" w:eastAsia="Calibri" w:cs="Liberation Serif"/>
      <w:color w:val="auto"/>
      <w:kern w:val="2"/>
      <w:sz w:val="22"/>
      <w:szCs w:val="24"/>
      <w:lang w:val="ru-RU" w:eastAsia="ar-SA" w:bidi="hi-IN"/>
    </w:rPr>
  </w:style>
  <w:style w:type="character" w:styleId="DefaultParagraphFont">
    <w:name w:val="Default Paragraph Font"/>
    <w:qFormat/>
    <w:rPr/>
  </w:style>
  <w:style w:type="character" w:styleId="Style14">
    <w:name w:val="Интернет-ссылка"/>
    <w:rPr>
      <w:color w:val="000080"/>
      <w:u w:val="single"/>
      <w:lang w:val="zxx" w:eastAsia="zxx"/>
    </w:rPr>
  </w:style>
  <w:style w:type="character" w:styleId="ListLabel1">
    <w:name w:val="ListLabel 1"/>
    <w:qFormat/>
    <w:rPr>
      <w:rFonts w:ascii="Times New Roman" w:hAnsi="Times New Roman" w:cs="Times New Roman"/>
      <w:color w:val="0000FF"/>
      <w:szCs w:val="32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Noto Sans Devanagari"/>
      <w:sz w:val="28"/>
    </w:rPr>
  </w:style>
  <w:style w:type="paragraph" w:styleId="Style16">
    <w:name w:val="Body Text"/>
    <w:basedOn w:val="Normal"/>
    <w:pPr>
      <w:spacing w:lineRule="exact" w:line="276" w:before="0" w:after="140"/>
    </w:pPr>
    <w:rPr/>
  </w:style>
  <w:style w:type="paragraph" w:styleId="Style17">
    <w:name w:val="List"/>
    <w:basedOn w:val="Style16"/>
    <w:pPr>
      <w:spacing w:lineRule="exact" w:line="276" w:before="0" w:after="140"/>
    </w:pPr>
    <w:rPr>
      <w:rFonts w:ascii="PT Astra Serif" w:hAnsi="PT Astra Serif" w:eastAsia="Noto Sans Devanagari"/>
    </w:rPr>
  </w:style>
  <w:style w:type="paragraph" w:styleId="Style18">
    <w:name w:val="Caption"/>
    <w:basedOn w:val="Normal"/>
    <w:qFormat/>
    <w:pPr>
      <w:spacing w:before="120" w:after="120"/>
    </w:pPr>
    <w:rPr>
      <w:rFonts w:ascii="PT Astra Serif" w:hAnsi="PT Astra Serif" w:eastAsia="Noto Sans Devanagari"/>
      <w:i/>
      <w:sz w:val="24"/>
    </w:rPr>
  </w:style>
  <w:style w:type="paragraph" w:styleId="Style19">
    <w:name w:val="Указатель"/>
    <w:basedOn w:val="Normal"/>
    <w:qFormat/>
    <w:pPr/>
    <w:rPr>
      <w:rFonts w:ascii="PT Astra Serif" w:hAnsi="PT Astra Serif" w:eastAsia="Noto Sans Devanagari"/>
    </w:rPr>
  </w:style>
  <w:style w:type="paragraph" w:styleId="DocumentMap">
    <w:name w:val="DocumentMap"/>
    <w:qFormat/>
    <w:pPr>
      <w:widowControl/>
      <w:suppressAutoHyphens w:val="true"/>
      <w:bidi w:val="0"/>
      <w:spacing w:lineRule="auto" w:line="254" w:before="0" w:after="160"/>
      <w:jc w:val="left"/>
      <w:textAlignment w:val="auto"/>
    </w:pPr>
    <w:rPr>
      <w:rFonts w:ascii="Calibri" w:hAnsi="Calibri" w:eastAsia="Calibri" w:cs="Liberation Serif"/>
      <w:color w:val="auto"/>
      <w:kern w:val="2"/>
      <w:sz w:val="22"/>
      <w:szCs w:val="24"/>
      <w:lang w:val="ru-RU" w:eastAsia="ar-SA" w:bidi="hi-IN"/>
    </w:rPr>
  </w:style>
  <w:style w:type="paragraph" w:styleId="ConsPlusNormal">
    <w:name w:val="ConsPlusNormal"/>
    <w:qFormat/>
    <w:pPr>
      <w:widowControl w:val="false"/>
      <w:suppressAutoHyphens w:val="true"/>
      <w:bidi w:val="0"/>
      <w:jc w:val="left"/>
      <w:textAlignment w:val="auto"/>
    </w:pPr>
    <w:rPr>
      <w:rFonts w:ascii="Arial" w:hAnsi="Arial" w:eastAsia="Arial" w:cs="Liberation Serif"/>
      <w:color w:val="auto"/>
      <w:kern w:val="2"/>
      <w:sz w:val="16"/>
      <w:szCs w:val="24"/>
      <w:lang w:val="ru-RU" w:eastAsia="ar-SA" w:bidi="hi-IN"/>
    </w:rPr>
  </w:style>
  <w:style w:type="paragraph" w:styleId="ConsPlusNonformat">
    <w:name w:val="ConsPlusNonformat"/>
    <w:qFormat/>
    <w:pPr>
      <w:widowControl w:val="false"/>
      <w:suppressAutoHyphens w:val="true"/>
      <w:bidi w:val="0"/>
      <w:jc w:val="left"/>
      <w:textAlignment w:val="auto"/>
    </w:pPr>
    <w:rPr>
      <w:rFonts w:ascii="Courier New" w:hAnsi="Courier New" w:eastAsia="Courier New" w:cs="Liberation Serif"/>
      <w:color w:val="auto"/>
      <w:kern w:val="2"/>
      <w:sz w:val="20"/>
      <w:szCs w:val="24"/>
      <w:lang w:val="ru-RU" w:eastAsia="ar-SA" w:bidi="hi-IN"/>
    </w:rPr>
  </w:style>
  <w:style w:type="paragraph" w:styleId="ConsPlusTitle">
    <w:name w:val="ConsPlusTitle"/>
    <w:qFormat/>
    <w:pPr>
      <w:widowControl w:val="false"/>
      <w:suppressAutoHyphens w:val="true"/>
      <w:bidi w:val="0"/>
      <w:jc w:val="left"/>
      <w:textAlignment w:val="auto"/>
    </w:pPr>
    <w:rPr>
      <w:rFonts w:ascii="Arial" w:hAnsi="Arial" w:eastAsia="Arial" w:cs="Liberation Serif"/>
      <w:b/>
      <w:color w:val="auto"/>
      <w:kern w:val="2"/>
      <w:sz w:val="16"/>
      <w:szCs w:val="24"/>
      <w:lang w:val="ru-RU" w:eastAsia="ar-SA" w:bidi="hi-IN"/>
    </w:rPr>
  </w:style>
  <w:style w:type="paragraph" w:styleId="ConsPlusCell">
    <w:name w:val="ConsPlusCell"/>
    <w:qFormat/>
    <w:pPr>
      <w:widowControl w:val="false"/>
      <w:suppressAutoHyphens w:val="true"/>
      <w:bidi w:val="0"/>
      <w:jc w:val="left"/>
      <w:textAlignment w:val="auto"/>
    </w:pPr>
    <w:rPr>
      <w:rFonts w:ascii="Courier New" w:hAnsi="Courier New" w:eastAsia="Courier New" w:cs="Liberation Serif"/>
      <w:color w:val="auto"/>
      <w:kern w:val="2"/>
      <w:sz w:val="20"/>
      <w:szCs w:val="24"/>
      <w:lang w:val="ru-RU" w:eastAsia="ar-SA" w:bidi="hi-IN"/>
    </w:rPr>
  </w:style>
  <w:style w:type="paragraph" w:styleId="ConsPlusDocList">
    <w:name w:val="ConsPlusDocList"/>
    <w:qFormat/>
    <w:pPr>
      <w:widowControl w:val="false"/>
      <w:suppressAutoHyphens w:val="true"/>
      <w:bidi w:val="0"/>
      <w:jc w:val="left"/>
      <w:textAlignment w:val="auto"/>
    </w:pPr>
    <w:rPr>
      <w:rFonts w:ascii="Courier New" w:hAnsi="Courier New" w:eastAsia="Courier New" w:cs="Liberation Serif"/>
      <w:color w:val="auto"/>
      <w:kern w:val="2"/>
      <w:sz w:val="16"/>
      <w:szCs w:val="24"/>
      <w:lang w:val="ru-RU" w:eastAsia="ar-SA" w:bidi="hi-IN"/>
    </w:rPr>
  </w:style>
  <w:style w:type="paragraph" w:styleId="ConsPlusTitlePage">
    <w:name w:val="ConsPlusTitlePage"/>
    <w:qFormat/>
    <w:pPr>
      <w:widowControl w:val="false"/>
      <w:suppressAutoHyphens w:val="true"/>
      <w:bidi w:val="0"/>
      <w:jc w:val="left"/>
      <w:textAlignment w:val="auto"/>
    </w:pPr>
    <w:rPr>
      <w:rFonts w:ascii="Tahoma" w:hAnsi="Tahoma" w:eastAsia="Tahoma" w:cs="Liberation Serif"/>
      <w:color w:val="auto"/>
      <w:kern w:val="2"/>
      <w:sz w:val="16"/>
      <w:szCs w:val="24"/>
      <w:lang w:val="ru-RU" w:eastAsia="ar-SA" w:bidi="hi-IN"/>
    </w:rPr>
  </w:style>
  <w:style w:type="paragraph" w:styleId="ConsPlusJurTerm">
    <w:name w:val="ConsPlusJurTerm"/>
    <w:qFormat/>
    <w:pPr>
      <w:widowControl w:val="false"/>
      <w:suppressAutoHyphens w:val="true"/>
      <w:bidi w:val="0"/>
      <w:jc w:val="left"/>
      <w:textAlignment w:val="auto"/>
    </w:pPr>
    <w:rPr>
      <w:rFonts w:ascii="Tahoma" w:hAnsi="Tahoma" w:eastAsia="Tahoma" w:cs="Liberation Serif"/>
      <w:color w:val="auto"/>
      <w:kern w:val="2"/>
      <w:sz w:val="26"/>
      <w:szCs w:val="24"/>
      <w:lang w:val="ru-RU" w:eastAsia="ar-SA" w:bidi="hi-IN"/>
    </w:rPr>
  </w:style>
  <w:style w:type="paragraph" w:styleId="ConsPlusTextList">
    <w:name w:val="ConsPlusTextList"/>
    <w:qFormat/>
    <w:pPr>
      <w:widowControl w:val="false"/>
      <w:suppressAutoHyphens w:val="true"/>
      <w:bidi w:val="0"/>
      <w:jc w:val="left"/>
      <w:textAlignment w:val="auto"/>
    </w:pPr>
    <w:rPr>
      <w:rFonts w:ascii="Arial" w:hAnsi="Arial" w:eastAsia="Arial" w:cs="Liberation Serif"/>
      <w:color w:val="auto"/>
      <w:kern w:val="2"/>
      <w:sz w:val="20"/>
      <w:szCs w:val="24"/>
      <w:lang w:val="ru-RU" w:eastAsia="ar-SA" w:bidi="hi-IN"/>
    </w:rPr>
  </w:style>
  <w:style w:type="paragraph" w:styleId="ConsPlusTextList1">
    <w:name w:val="ConsPlusTextList1"/>
    <w:qFormat/>
    <w:pPr>
      <w:widowControl w:val="false"/>
      <w:suppressAutoHyphens w:val="true"/>
      <w:bidi w:val="0"/>
      <w:jc w:val="left"/>
      <w:textAlignment w:val="auto"/>
    </w:pPr>
    <w:rPr>
      <w:rFonts w:ascii="Arial" w:hAnsi="Arial" w:eastAsia="Arial" w:cs="Liberation Serif"/>
      <w:color w:val="auto"/>
      <w:kern w:val="2"/>
      <w:sz w:val="20"/>
      <w:szCs w:val="24"/>
      <w:lang w:val="ru-RU" w:eastAsia="ar-SA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77C5FD7D791C134F3B9CE1421283E283DB311DB4563D3C348A0F4736167E7FDF19B91F107FED6F57D3EE09DC8491697292DACD7F495032BAU2xBQ" TargetMode="External"/><Relationship Id="rId3" Type="http://schemas.openxmlformats.org/officeDocument/2006/relationships/hyperlink" Target="consultantplus://offline/ref=77C5FD7D791C134F3B9CE1421283E283DB311DB4563D3C348A0F4736167E7FDF19B91F107FED6F57DEEE09DC8491697292DACD7F495032BAU2xBQ" TargetMode="External"/><Relationship Id="rId4" Type="http://schemas.openxmlformats.org/officeDocument/2006/relationships/hyperlink" Target="consultantplus://offline/ref=77C5FD7D791C134F3B9CE1421283E283DB331EB0583E3C348A0F4736167E7FDF19B91F107FEF6955D0EE09DC8491697292DACD7F495032BAU2xBQ" TargetMode="External"/><Relationship Id="rId5" Type="http://schemas.openxmlformats.org/officeDocument/2006/relationships/hyperlink" Target="consultantplus://offline/ref=77C5FD7D791C134F3B9CE1421283E283DA321CB35C3A3C348A0F4736167E7FDF19B91F107FED6F50D6EE09DC8491697292DACD7F495032BAU2xBQ" TargetMode="External"/><Relationship Id="rId6" Type="http://schemas.openxmlformats.org/officeDocument/2006/relationships/hyperlink" Target="consultantplus://offline/ref=77C5FD7D791C134F3B9CE1421283E283DB311DB4563D3C348A0F4736167E7FDF19B91F107FED6F56D2EE09DC8491697292DACD7F495032BAU2xBQ" TargetMode="External"/><Relationship Id="rId7" Type="http://schemas.openxmlformats.org/officeDocument/2006/relationships/hyperlink" Target="consultantplus://offline/ref=77C5FD7D791C134F3B9CE1421283E283DA321CB35C3A3C348A0F4736167E7FDF19B91F107FED6F50D5EE09DC8491697292DACD7F495032BAU2xBQ" TargetMode="External"/><Relationship Id="rId8" Type="http://schemas.openxmlformats.org/officeDocument/2006/relationships/hyperlink" Target="consultantplus://offline/ref=77C5FD7D791C134F3B9CE1421283E283DB331EB0583E3C348A0F4736167E7FDF19B91F107FED6A57DFEE09DC8491697292DACD7F495032BAU2xBQ" TargetMode="External"/><Relationship Id="rId9" Type="http://schemas.openxmlformats.org/officeDocument/2006/relationships/fontTable" Target="fontTable.xml"/><Relationship Id="rId10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LibreOffice/6.2.5.2$Windows_x86 LibreOffice_project/1ec314fa52f458adc18c4f025c545a4e8b22c159</Application>
  <Pages>1</Pages>
  <Words>292</Words>
  <Characters>1832</Characters>
  <CharactersWithSpaces>2101</CharactersWithSpaces>
  <Paragraphs>23</Paragraphs>
  <Company>КонсультантПлюс Версия 4020.00.25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2021-04-15T08:57:00Z</dcterms:created>
  <dc:creator>Ванюкова Нина</dc:creator>
  <dc:description/>
  <dc:language>ru-RU</dc:language>
  <cp:lastModifiedBy/>
  <dcterms:modified xsi:type="dcterms:W3CDTF">2021-04-15T10:53:00Z</dcterms:modified>
  <cp:revision>0</cp:revision>
  <dc:subject/>
  <dc:title>Приказ Минсельхоза России от 18.11.2014 N 453(ред. от 25.07.2019)"Об утверждении правил рыболовства для Волжско-Каспийского рыбохозяйственного бассейна"(Зарегистрировано в Минюсте России 08.12.2014 N 35097)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4020.00.25</vt:lpwstr>
  </property>
  <property fmtid="{D5CDD505-2E9C-101B-9397-08002B2CF9AE}" pid="3" name="Operator">
    <vt:lpwstr>Ванюкова Нина</vt:lpwstr>
  </property>
</Properties>
</file>