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8"/>
        <w:jc w:val="both"/>
        <w:rPr>
          <w:rStyle w:val="Style14"/>
          <w:b/>
          <w:b/>
          <w:i w:val="false"/>
          <w:i w:val="false"/>
          <w:sz w:val="28"/>
        </w:rPr>
      </w:pPr>
      <w:r>
        <w:rPr>
          <w:sz w:val="28"/>
          <w:szCs w:val="28"/>
        </w:rPr>
        <w:t>Согласно приказа Министерства сельского хозяйства Российской Федерации от 18 ноября 2014 г. № 453 (пункт</w:t>
      </w:r>
      <w:r>
        <w:rPr>
          <w:rStyle w:val="1"/>
          <w:b/>
          <w:i/>
          <w:sz w:val="28"/>
        </w:rPr>
        <w:t xml:space="preserve"> </w:t>
      </w:r>
      <w:r>
        <w:rPr>
          <w:rStyle w:val="Style14"/>
          <w:b/>
          <w:i w:val="false"/>
          <w:sz w:val="28"/>
        </w:rPr>
        <w:t>30.26.) на  водных объектах рыбохозяйственного значения Нижегородской области при осуществлении любительского рыболовства установлены:</w:t>
      </w:r>
    </w:p>
    <w:p>
      <w:pPr>
        <w:pStyle w:val="Normal"/>
        <w:spacing w:lineRule="auto" w:line="360"/>
        <w:jc w:val="both"/>
        <w:rPr>
          <w:b/>
          <w:b/>
          <w:i/>
          <w:i/>
          <w:iCs/>
          <w:sz w:val="28"/>
        </w:rPr>
      </w:pPr>
      <w:bookmarkStart w:id="0" w:name="_GoBack"/>
      <w:bookmarkEnd w:id="0"/>
      <w:r>
        <w:rPr>
          <w:b/>
          <w:i/>
          <w:iCs/>
          <w:sz w:val="28"/>
        </w:rPr>
        <w:t>30.26.1. Запретные для добычи (вылова) водных биоресурсов районы: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от плотины Горьковской ГЭС (в нижнем бьефе) до слияния бывшего русла реки Волга со шлюзовым каналом, включая указанный шлюзовой канал, за исключением осуществления любительского и спортивного рыболовства (кроме осетровых видов рыб) с берега (без использования плавучих средств) вне пределов охраняемой зоны отчуждения Горьковской ГЭС с использованием поплавочных удочек всех систем и наименований с общим количеством одинарных крючков не более двух штук на орудиях добычи (вылова) у одного гражданина;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от шлюзов верхнего бьефа плотины Горьковской ГЭС на водоеме "пазуха".</w:t>
      </w:r>
    </w:p>
    <w:p>
      <w:pPr>
        <w:pStyle w:val="Normal"/>
        <w:spacing w:lineRule="auto" w:line="360"/>
        <w:jc w:val="both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  <w:t>30.26.2. Запретные сроки (периоды) добычи (вылова) водных биоресурсов:</w:t>
      </w:r>
    </w:p>
    <w:p>
      <w:pPr>
        <w:pStyle w:val="Normal"/>
        <w:spacing w:lineRule="auto" w:line="360"/>
        <w:ind w:firstLine="708"/>
        <w:jc w:val="both"/>
        <w:rPr>
          <w:iCs/>
          <w:sz w:val="28"/>
        </w:rPr>
      </w:pPr>
      <w:r>
        <w:rPr>
          <w:b/>
          <w:iCs/>
          <w:sz w:val="28"/>
        </w:rPr>
        <w:t>в Горьковском водохранилище с впадающими в него реками и в озерах в</w:t>
      </w:r>
      <w:r>
        <w:rPr>
          <w:iCs/>
          <w:sz w:val="28"/>
        </w:rPr>
        <w:t xml:space="preserve"> административных границах Нижегородской области </w:t>
      </w:r>
      <w:r>
        <w:rPr>
          <w:b/>
          <w:i/>
          <w:iCs/>
          <w:sz w:val="28"/>
        </w:rPr>
        <w:t>- с 15 апреля по 15 июня</w:t>
      </w:r>
      <w:r>
        <w:rPr>
          <w:iCs/>
          <w:sz w:val="28"/>
        </w:rPr>
        <w:t xml:space="preserve"> - всеми орудиями добычи (вылова), за исключением одной поплавочной или донной удочки с берега с общим количеством крючков не более 2 штук на орудиях добычи (вылова) у одного гражданина вне мест нереста, указанных в </w:t>
      </w:r>
      <w:hyperlink r:id="rId2">
        <w:r>
          <w:rPr>
            <w:rStyle w:val="Style15"/>
            <w:b/>
            <w:iCs/>
            <w:sz w:val="28"/>
            <w:u w:val="single"/>
          </w:rPr>
          <w:t>приложении № 6</w:t>
        </w:r>
      </w:hyperlink>
      <w:r>
        <w:rPr>
          <w:iCs/>
          <w:sz w:val="28"/>
        </w:rPr>
        <w:t xml:space="preserve"> к Правилам рыболовства "Перечень нерестовых участков, расположенных на водных объектах рыбохозяйственного значения Волжско-Каспийского рыбохозяйственного бассейна";</w:t>
      </w:r>
    </w:p>
    <w:p>
      <w:pPr>
        <w:pStyle w:val="Normal"/>
        <w:spacing w:lineRule="auto" w:line="360"/>
        <w:ind w:firstLine="708"/>
        <w:jc w:val="both"/>
        <w:rPr>
          <w:iCs/>
          <w:sz w:val="28"/>
        </w:rPr>
      </w:pPr>
      <w:r>
        <w:rPr>
          <w:b/>
          <w:iCs/>
          <w:sz w:val="28"/>
        </w:rPr>
        <w:t>на Чебоксарском водохранилище с впадающими в него реками (за исключением реки Ока с притоками)</w:t>
      </w:r>
      <w:r>
        <w:rPr>
          <w:iCs/>
          <w:sz w:val="28"/>
        </w:rPr>
        <w:t xml:space="preserve"> в административных границах Нижегородской области - </w:t>
      </w:r>
      <w:r>
        <w:rPr>
          <w:b/>
          <w:i/>
          <w:iCs/>
          <w:sz w:val="28"/>
        </w:rPr>
        <w:t>с 10 апреля по 10 июня</w:t>
      </w:r>
      <w:r>
        <w:rPr>
          <w:iCs/>
          <w:sz w:val="28"/>
        </w:rPr>
        <w:t xml:space="preserve"> - всеми орудиями добычи (вылова), за исключением одной поплавочной или донной удочки с берега с общим количеством одинарных крючков не более 2 штук на орудиях добычи (вылова) у одного гражданина вне мест нереста, указанных в </w:t>
      </w:r>
      <w:hyperlink r:id="rId3">
        <w:r>
          <w:rPr>
            <w:rStyle w:val="Style15"/>
            <w:b/>
            <w:iCs/>
            <w:sz w:val="28"/>
            <w:u w:val="single"/>
          </w:rPr>
          <w:t>приложении             № 6</w:t>
        </w:r>
      </w:hyperlink>
      <w:r>
        <w:rPr>
          <w:iCs/>
          <w:sz w:val="28"/>
        </w:rPr>
        <w:t xml:space="preserve"> к Правилам рыболовства "Перечень нерестовых участков, расположенных на водных объектах рыбохозяйственного значения Волжско-Каспийского рыбохозяйственного бассейна";</w:t>
      </w:r>
    </w:p>
    <w:p>
      <w:pPr>
        <w:pStyle w:val="Normal"/>
        <w:spacing w:lineRule="auto" w:line="360"/>
        <w:ind w:firstLine="708"/>
        <w:jc w:val="both"/>
        <w:rPr>
          <w:iCs/>
          <w:sz w:val="28"/>
        </w:rPr>
      </w:pPr>
      <w:r>
        <w:rPr>
          <w:b/>
          <w:iCs/>
          <w:sz w:val="28"/>
        </w:rPr>
        <w:t>на реке Ока с впадающими в нее реками</w:t>
      </w:r>
      <w:r>
        <w:rPr>
          <w:iCs/>
          <w:sz w:val="28"/>
        </w:rPr>
        <w:t xml:space="preserve"> в административных границах Нижегородской области - </w:t>
      </w:r>
      <w:r>
        <w:rPr>
          <w:b/>
          <w:i/>
          <w:iCs/>
          <w:sz w:val="28"/>
        </w:rPr>
        <w:t>с 1 апреля по 10 июня</w:t>
      </w:r>
      <w:r>
        <w:rPr>
          <w:iCs/>
          <w:sz w:val="28"/>
        </w:rPr>
        <w:t xml:space="preserve"> - всеми орудиями добычи (вылова), за исключением одной поплавочной или донной удочки с берега с общим количеством крючков не более 2 штук на орудиях добычи (вылова) у одного гражданина вне мест нереста, указанных в </w:t>
      </w:r>
      <w:hyperlink r:id="rId4">
        <w:r>
          <w:rPr>
            <w:rStyle w:val="Style15"/>
            <w:b/>
            <w:iCs/>
            <w:sz w:val="28"/>
            <w:u w:val="single"/>
          </w:rPr>
          <w:t>приложении               № 6</w:t>
        </w:r>
      </w:hyperlink>
      <w:r>
        <w:rPr>
          <w:iCs/>
          <w:sz w:val="28"/>
        </w:rPr>
        <w:t xml:space="preserve"> к Правилам рыболовства "Перечень нерестовых участков, расположенных на водных объектах рыбохозяйственного значения Волжско-Каспийского рыбохозяйственного бассейна";</w:t>
      </w:r>
    </w:p>
    <w:p>
      <w:pPr>
        <w:pStyle w:val="Normal"/>
        <w:spacing w:lineRule="auto" w:line="360"/>
        <w:ind w:firstLine="708"/>
        <w:jc w:val="both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  <w:t>с 20 декабря по 15 марта - всеми орудиями добычи (вылова):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на реке Сура - на расстоянии 0,5 км выше и ниже по течению от устьевых участков рек: Огневка, Медяна, Урга, Пьяна;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на реке Огневка - на участке от устья до административной границы поселка Шереметьево Воротынского района Нижегородской области;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на реке Медяна - на участке от устья до административной границы села Каменка Пильнинского района Нижегородской области;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на реке Урга - на участке от устья до административной границы села Шокина Воротынского района Нижегородской области;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на реке Пьяна - на участке от устья до устья реки Лелейка;</w:t>
      </w:r>
    </w:p>
    <w:p>
      <w:pPr>
        <w:pStyle w:val="Normal"/>
        <w:spacing w:lineRule="auto" w:line="360"/>
        <w:ind w:firstLine="708"/>
        <w:jc w:val="both"/>
        <w:rPr>
          <w:iCs/>
          <w:sz w:val="28"/>
        </w:rPr>
      </w:pPr>
      <w:r>
        <w:rPr>
          <w:b/>
          <w:i/>
          <w:iCs/>
          <w:sz w:val="28"/>
        </w:rPr>
        <w:t>с 1 октября по 30 апреля</w:t>
      </w:r>
      <w:r>
        <w:rPr>
          <w:iCs/>
          <w:sz w:val="28"/>
        </w:rPr>
        <w:t xml:space="preserve"> - на зимовальных ямах, указанных в</w:t>
      </w:r>
      <w:r>
        <w:rPr>
          <w:b/>
          <w:iCs/>
          <w:sz w:val="28"/>
          <w:u w:val="single"/>
        </w:rPr>
        <w:t xml:space="preserve"> </w:t>
      </w:r>
      <w:hyperlink r:id="rId5">
        <w:r>
          <w:rPr>
            <w:rStyle w:val="Style15"/>
            <w:b/>
            <w:iCs/>
            <w:sz w:val="28"/>
            <w:u w:val="single"/>
          </w:rPr>
          <w:t>приложении № 5</w:t>
        </w:r>
      </w:hyperlink>
      <w:r>
        <w:rPr>
          <w:iCs/>
          <w:sz w:val="28"/>
        </w:rPr>
        <w:t xml:space="preserve"> к Правилам рыболовства "Перечень зимовальных ям, расположенных на водных объектах рыбохозяйственного значения Волжско-Каспийского рыбохозяйственного бассейна";</w:t>
      </w:r>
    </w:p>
    <w:p>
      <w:pPr>
        <w:pStyle w:val="Normal"/>
        <w:spacing w:lineRule="auto" w:line="360"/>
        <w:ind w:firstLine="708"/>
        <w:jc w:val="both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  <w:t>с 20 декабря по 19 января - налима;</w:t>
      </w:r>
    </w:p>
    <w:p>
      <w:pPr>
        <w:pStyle w:val="Normal"/>
        <w:spacing w:lineRule="auto" w:line="360"/>
        <w:jc w:val="both"/>
        <w:rPr>
          <w:iCs/>
          <w:sz w:val="28"/>
        </w:rPr>
      </w:pPr>
      <w:r>
        <w:rPr>
          <w:iCs/>
          <w:sz w:val="28"/>
        </w:rPr>
        <w:t>в течение года в реке Ока с водотоками, непосредственно впадающими в нее (притоки первого порядка), в границах Нижегородской области запрещается применение "подпусков" и осуществление добычи (вылова) водных биологических ресурсов "переметами".</w:t>
      </w:r>
    </w:p>
    <w:p>
      <w:pPr>
        <w:pStyle w:val="Normal"/>
        <w:spacing w:lineRule="auto" w:line="360"/>
        <w:jc w:val="both"/>
        <w:rPr>
          <w:b/>
          <w:b/>
          <w:i/>
          <w:i/>
          <w:iCs/>
          <w:sz w:val="28"/>
        </w:rPr>
      </w:pPr>
      <w:r>
        <w:rPr>
          <w:b/>
          <w:i/>
          <w:iCs/>
          <w:sz w:val="28"/>
        </w:rPr>
        <w:t>30.26.3. Запретные для добычи (вылова) виды водных биоресурсов:</w:t>
      </w:r>
    </w:p>
    <w:p>
      <w:pPr>
        <w:pStyle w:val="Normal"/>
        <w:spacing w:lineRule="auto" w:line="360"/>
        <w:jc w:val="both"/>
        <w:rPr>
          <w:rStyle w:val="Style14"/>
          <w:i w:val="false"/>
          <w:i w:val="false"/>
          <w:sz w:val="28"/>
          <w:highlight w:val="yellow"/>
        </w:rPr>
      </w:pPr>
      <w:r>
        <w:rPr>
          <w:iCs/>
          <w:sz w:val="28"/>
        </w:rPr>
        <w:t>миноги, осетровые виды рыб, сельдь-черноспинка, пузанок каспийский, белорыбица, кумжа (форель) (пресноводная жилая форма), хариус, горчак, подуст.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793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qFormat/>
    <w:rsid w:val="00437939"/>
    <w:rPr>
      <w:i/>
      <w:iCs/>
    </w:rPr>
  </w:style>
  <w:style w:type="character" w:styleId="1" w:customStyle="1">
    <w:name w:val="Основной шрифт абзаца1"/>
    <w:qFormat/>
    <w:rsid w:val="00437939"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oktu.ru/assets/files/prilozhenie-6-nizhegorodskaya(1).docx" TargetMode="External"/><Relationship Id="rId3" Type="http://schemas.openxmlformats.org/officeDocument/2006/relationships/hyperlink" Target="http://moktu.ru/assets/files/prilozhenie-6-nizhegorodskaya(1).docx" TargetMode="External"/><Relationship Id="rId4" Type="http://schemas.openxmlformats.org/officeDocument/2006/relationships/hyperlink" Target="http://moktu.ru/assets/files/prilozhenie-6-nizhegorodskaya(1).docx" TargetMode="External"/><Relationship Id="rId5" Type="http://schemas.openxmlformats.org/officeDocument/2006/relationships/hyperlink" Target="http://www.moktu.ru/assets/files/prilozhenie-5-nizhegorodskaya(1).docx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 LibreOffice_project/1ec314fa52f458adc18c4f025c545a4e8b22c159</Application>
  <Pages>3</Pages>
  <Words>535</Words>
  <Characters>3358</Characters>
  <CharactersWithSpaces>3901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2021-04-13T16:44:00Z</dcterms:created>
  <dc:creator>Елена Полякова</dc:creator>
  <dc:description/>
  <dc:language>ru-RU</dc:language>
  <cp:lastModifiedBy/>
  <dcterms:modified xsi:type="dcterms:W3CDTF">2021-04-16T17:39:54Z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